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7F48B" w14:textId="77777777" w:rsidR="003114D8" w:rsidRPr="00AB3ACD" w:rsidRDefault="003114D8" w:rsidP="003114D8">
      <w:pPr>
        <w:spacing w:beforeLines="50" w:before="156" w:line="500" w:lineRule="exact"/>
        <w:jc w:val="center"/>
        <w:textAlignment w:val="baseline"/>
        <w:rPr>
          <w:rFonts w:eastAsia="黑体"/>
          <w:bCs/>
          <w:kern w:val="0"/>
          <w:sz w:val="28"/>
          <w:szCs w:val="28"/>
        </w:rPr>
      </w:pPr>
      <w:r w:rsidRPr="00AB3ACD">
        <w:rPr>
          <w:rFonts w:eastAsia="黑体"/>
          <w:bCs/>
          <w:kern w:val="0"/>
          <w:sz w:val="28"/>
          <w:szCs w:val="28"/>
        </w:rPr>
        <w:t>农业</w:t>
      </w:r>
      <w:r w:rsidRPr="00AB3ACD">
        <w:rPr>
          <w:rFonts w:eastAsia="黑体" w:hint="eastAsia"/>
          <w:bCs/>
          <w:kern w:val="0"/>
          <w:sz w:val="28"/>
          <w:szCs w:val="28"/>
        </w:rPr>
        <w:t>农村</w:t>
      </w:r>
      <w:proofErr w:type="gramStart"/>
      <w:r w:rsidRPr="00AB3ACD">
        <w:rPr>
          <w:rFonts w:eastAsia="黑体"/>
          <w:bCs/>
          <w:kern w:val="0"/>
          <w:sz w:val="28"/>
          <w:szCs w:val="28"/>
        </w:rPr>
        <w:t>部</w:t>
      </w:r>
      <w:r w:rsidR="00CC74AB" w:rsidRPr="00AB3ACD">
        <w:rPr>
          <w:rFonts w:eastAsia="黑体" w:hint="eastAsia"/>
          <w:bCs/>
          <w:kern w:val="0"/>
          <w:sz w:val="28"/>
          <w:szCs w:val="28"/>
        </w:rPr>
        <w:t>动物</w:t>
      </w:r>
      <w:proofErr w:type="gramEnd"/>
      <w:r w:rsidR="00CC74AB" w:rsidRPr="00AB3ACD">
        <w:rPr>
          <w:rFonts w:eastAsia="黑体" w:hint="eastAsia"/>
          <w:bCs/>
          <w:kern w:val="0"/>
          <w:sz w:val="28"/>
          <w:szCs w:val="28"/>
        </w:rPr>
        <w:t>源</w:t>
      </w:r>
      <w:r w:rsidR="00CC74AB" w:rsidRPr="00AB3ACD">
        <w:rPr>
          <w:rFonts w:eastAsia="黑体"/>
          <w:bCs/>
          <w:kern w:val="0"/>
          <w:sz w:val="28"/>
          <w:szCs w:val="28"/>
        </w:rPr>
        <w:t>细菌耐药性监测</w:t>
      </w:r>
      <w:r w:rsidRPr="00AB3ACD">
        <w:rPr>
          <w:rFonts w:eastAsia="黑体"/>
          <w:bCs/>
          <w:kern w:val="0"/>
          <w:sz w:val="28"/>
          <w:szCs w:val="28"/>
        </w:rPr>
        <w:t>点</w:t>
      </w:r>
      <w:r w:rsidR="00CC74AB" w:rsidRPr="00AB3ACD">
        <w:rPr>
          <w:rFonts w:eastAsia="黑体" w:hint="eastAsia"/>
          <w:bCs/>
          <w:kern w:val="0"/>
          <w:sz w:val="28"/>
          <w:szCs w:val="28"/>
        </w:rPr>
        <w:t>重点</w:t>
      </w:r>
      <w:r w:rsidRPr="00AB3ACD">
        <w:rPr>
          <w:rFonts w:eastAsia="黑体"/>
          <w:bCs/>
          <w:kern w:val="0"/>
          <w:sz w:val="28"/>
          <w:szCs w:val="28"/>
        </w:rPr>
        <w:t>实验室开放课题</w:t>
      </w:r>
    </w:p>
    <w:p w14:paraId="306D5389" w14:textId="77777777" w:rsidR="003114D8" w:rsidRPr="00AB3ACD" w:rsidRDefault="003114D8" w:rsidP="003114D8">
      <w:pPr>
        <w:widowControl/>
        <w:spacing w:line="360" w:lineRule="auto"/>
        <w:jc w:val="center"/>
        <w:rPr>
          <w:rFonts w:eastAsia="黑体"/>
          <w:bCs/>
          <w:kern w:val="0"/>
          <w:sz w:val="32"/>
          <w:szCs w:val="32"/>
        </w:rPr>
      </w:pPr>
      <w:r w:rsidRPr="00AB3ACD">
        <w:rPr>
          <w:rFonts w:eastAsia="黑体"/>
          <w:bCs/>
          <w:kern w:val="0"/>
          <w:sz w:val="28"/>
          <w:szCs w:val="28"/>
        </w:rPr>
        <w:t>管理办法</w:t>
      </w:r>
    </w:p>
    <w:p w14:paraId="6D2A7CD8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第一章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总则</w:t>
      </w:r>
    </w:p>
    <w:p w14:paraId="12044EA7" w14:textId="1DE037C5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第一条</w:t>
      </w:r>
      <w:r w:rsidRPr="00AB3ACD">
        <w:rPr>
          <w:rFonts w:eastAsia="仿宋"/>
          <w:kern w:val="0"/>
          <w:sz w:val="24"/>
        </w:rPr>
        <w:t xml:space="preserve">  </w:t>
      </w:r>
      <w:r w:rsidRPr="000B7E1E">
        <w:rPr>
          <w:rFonts w:eastAsia="仿宋" w:hAnsi="仿宋"/>
          <w:kern w:val="0"/>
          <w:sz w:val="24"/>
        </w:rPr>
        <w:t>为实行</w:t>
      </w:r>
      <w:r w:rsidRPr="000B7E1E">
        <w:rPr>
          <w:rFonts w:eastAsia="仿宋"/>
          <w:kern w:val="0"/>
          <w:sz w:val="24"/>
        </w:rPr>
        <w:t>“</w:t>
      </w:r>
      <w:r w:rsidRPr="000B7E1E">
        <w:rPr>
          <w:rFonts w:eastAsia="仿宋" w:hAnsi="仿宋"/>
          <w:kern w:val="0"/>
          <w:sz w:val="24"/>
        </w:rPr>
        <w:t>开放、流动、联合、竞争</w:t>
      </w:r>
      <w:r w:rsidRPr="000B7E1E">
        <w:rPr>
          <w:rFonts w:eastAsia="仿宋"/>
          <w:kern w:val="0"/>
          <w:sz w:val="24"/>
        </w:rPr>
        <w:t>”</w:t>
      </w:r>
      <w:r w:rsidRPr="000B7E1E">
        <w:rPr>
          <w:rFonts w:eastAsia="仿宋" w:hAnsi="仿宋"/>
          <w:kern w:val="0"/>
          <w:sz w:val="24"/>
        </w:rPr>
        <w:t>的运行机制，吸引国内外优秀学者在</w:t>
      </w:r>
      <w:r w:rsidR="00CC74AB" w:rsidRPr="000B7E1E">
        <w:rPr>
          <w:rFonts w:eastAsia="仿宋" w:hAnsi="仿宋" w:hint="eastAsia"/>
          <w:kern w:val="0"/>
          <w:sz w:val="24"/>
        </w:rPr>
        <w:t>动物</w:t>
      </w:r>
      <w:r w:rsidR="00CA2CB8" w:rsidRPr="000B7E1E">
        <w:rPr>
          <w:rFonts w:eastAsia="仿宋" w:hAnsi="仿宋" w:hint="eastAsia"/>
          <w:kern w:val="0"/>
          <w:sz w:val="24"/>
        </w:rPr>
        <w:t>源</w:t>
      </w:r>
      <w:r w:rsidR="00CC74AB" w:rsidRPr="00AB3ACD">
        <w:rPr>
          <w:rFonts w:eastAsia="仿宋" w:hAnsi="仿宋" w:hint="eastAsia"/>
          <w:kern w:val="0"/>
          <w:sz w:val="24"/>
        </w:rPr>
        <w:t>细菌耐药性</w:t>
      </w:r>
      <w:r w:rsidRPr="00AB3ACD">
        <w:rPr>
          <w:rFonts w:eastAsia="仿宋" w:hAnsi="仿宋"/>
          <w:kern w:val="0"/>
          <w:sz w:val="24"/>
        </w:rPr>
        <w:t>领域开展高水平的基础研究和应用基础研究，培养高层次科技人才，实现资源共享，充分发挥重点实验室资源优势，促进我国在该领域的发展，农业</w:t>
      </w:r>
      <w:r w:rsidRPr="00AB3ACD">
        <w:rPr>
          <w:rFonts w:eastAsia="仿宋" w:hAnsi="仿宋" w:hint="eastAsia"/>
          <w:kern w:val="0"/>
          <w:sz w:val="24"/>
        </w:rPr>
        <w:t>农村</w:t>
      </w:r>
      <w:proofErr w:type="gramStart"/>
      <w:r w:rsidRPr="00AB3ACD">
        <w:rPr>
          <w:rFonts w:eastAsia="仿宋" w:hAnsi="仿宋"/>
          <w:kern w:val="0"/>
          <w:sz w:val="24"/>
        </w:rPr>
        <w:t>部</w:t>
      </w:r>
      <w:r w:rsidR="00CC74AB" w:rsidRPr="00AB3ACD">
        <w:rPr>
          <w:rFonts w:eastAsia="仿宋" w:hAnsi="仿宋" w:hint="eastAsia"/>
          <w:kern w:val="0"/>
          <w:sz w:val="24"/>
        </w:rPr>
        <w:t>动物</w:t>
      </w:r>
      <w:proofErr w:type="gramEnd"/>
      <w:r w:rsidR="00CC74AB" w:rsidRPr="00AB3ACD">
        <w:rPr>
          <w:rFonts w:eastAsia="仿宋" w:hAnsi="仿宋" w:hint="eastAsia"/>
          <w:kern w:val="0"/>
          <w:sz w:val="24"/>
        </w:rPr>
        <w:t>源</w:t>
      </w:r>
      <w:r w:rsidR="00CC74AB" w:rsidRPr="00AB3ACD">
        <w:rPr>
          <w:rFonts w:eastAsia="仿宋" w:hAnsi="仿宋"/>
          <w:kern w:val="0"/>
          <w:sz w:val="24"/>
        </w:rPr>
        <w:t>细菌耐药性监测</w:t>
      </w:r>
      <w:r w:rsidR="00CC74AB" w:rsidRPr="00AB3ACD">
        <w:rPr>
          <w:rFonts w:eastAsia="仿宋" w:hAnsi="仿宋" w:hint="eastAsia"/>
          <w:kern w:val="0"/>
          <w:sz w:val="24"/>
        </w:rPr>
        <w:t>重点</w:t>
      </w:r>
      <w:r w:rsidRPr="00AB3ACD">
        <w:rPr>
          <w:rFonts w:eastAsia="仿宋" w:hAnsi="仿宋"/>
          <w:kern w:val="0"/>
          <w:sz w:val="24"/>
        </w:rPr>
        <w:t>实验室（以下简称实验室）设立开放课题（以下简称课题）并制订本办法。</w:t>
      </w:r>
      <w:r w:rsidRPr="00AB3ACD">
        <w:rPr>
          <w:rFonts w:eastAsia="仿宋"/>
          <w:kern w:val="0"/>
          <w:sz w:val="24"/>
        </w:rPr>
        <w:t xml:space="preserve"> </w:t>
      </w:r>
    </w:p>
    <w:p w14:paraId="4A4A0A99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第二条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实验室学术委员会每年根据实验室的研究领域，</w:t>
      </w:r>
      <w:r w:rsidRPr="000B7E1E">
        <w:rPr>
          <w:rFonts w:eastAsia="仿宋" w:hAnsi="仿宋"/>
          <w:kern w:val="0"/>
          <w:sz w:val="24"/>
        </w:rPr>
        <w:t>提出开</w:t>
      </w:r>
      <w:r w:rsidRPr="00AB3ACD">
        <w:rPr>
          <w:rFonts w:eastAsia="仿宋" w:hAnsi="仿宋"/>
          <w:kern w:val="0"/>
          <w:sz w:val="24"/>
        </w:rPr>
        <w:t>放课题指南并面向国内外同行发布。</w:t>
      </w:r>
      <w:r w:rsidRPr="00AB3ACD">
        <w:rPr>
          <w:rFonts w:eastAsia="仿宋"/>
          <w:kern w:val="0"/>
          <w:sz w:val="24"/>
        </w:rPr>
        <w:t xml:space="preserve"> </w:t>
      </w:r>
    </w:p>
    <w:p w14:paraId="158576B0" w14:textId="77777777" w:rsidR="003114D8" w:rsidRPr="000B7E1E" w:rsidRDefault="003114D8" w:rsidP="003114D8">
      <w:pPr>
        <w:widowControl/>
        <w:snapToGrid w:val="0"/>
        <w:spacing w:line="360" w:lineRule="auto"/>
        <w:jc w:val="left"/>
        <w:rPr>
          <w:rFonts w:eastAsia="仿宋"/>
          <w:color w:val="000000" w:themeColor="text1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第三条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实验室定期接受开放课题</w:t>
      </w:r>
      <w:r w:rsidRPr="000B7E1E">
        <w:rPr>
          <w:rFonts w:eastAsia="仿宋" w:hAnsi="仿宋"/>
          <w:color w:val="000000" w:themeColor="text1"/>
          <w:kern w:val="0"/>
          <w:sz w:val="24"/>
        </w:rPr>
        <w:t>申请，课题</w:t>
      </w:r>
      <w:r w:rsidR="00CD3F29" w:rsidRPr="000B7E1E">
        <w:rPr>
          <w:rFonts w:eastAsia="仿宋" w:hAnsi="仿宋" w:hint="eastAsia"/>
          <w:color w:val="000000" w:themeColor="text1"/>
          <w:kern w:val="0"/>
          <w:sz w:val="24"/>
        </w:rPr>
        <w:t>实施</w:t>
      </w:r>
      <w:r w:rsidRPr="000B7E1E">
        <w:rPr>
          <w:rFonts w:eastAsia="仿宋" w:hAnsi="仿宋"/>
          <w:color w:val="000000" w:themeColor="text1"/>
          <w:kern w:val="0"/>
          <w:sz w:val="24"/>
        </w:rPr>
        <w:t>周期一般为</w:t>
      </w:r>
      <w:r w:rsidRPr="000B7E1E">
        <w:rPr>
          <w:rFonts w:eastAsia="仿宋"/>
          <w:color w:val="000000" w:themeColor="text1"/>
          <w:kern w:val="0"/>
          <w:sz w:val="24"/>
        </w:rPr>
        <w:t>1-2</w:t>
      </w:r>
      <w:r w:rsidRPr="000B7E1E">
        <w:rPr>
          <w:rFonts w:eastAsia="仿宋" w:hAnsi="仿宋"/>
          <w:color w:val="000000" w:themeColor="text1"/>
          <w:kern w:val="0"/>
          <w:sz w:val="24"/>
        </w:rPr>
        <w:t>年。</w:t>
      </w:r>
      <w:r w:rsidRPr="000B7E1E">
        <w:rPr>
          <w:rFonts w:eastAsia="仿宋"/>
          <w:color w:val="000000" w:themeColor="text1"/>
          <w:kern w:val="0"/>
          <w:sz w:val="24"/>
        </w:rPr>
        <w:t xml:space="preserve"> </w:t>
      </w:r>
    </w:p>
    <w:p w14:paraId="3C26EF04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第四条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获批准课题资助的开放基金原则上在实验室使用，实验室向获得基金的研究人员提供相应工作条件；经双方协商认可，对自带课题和经费的客座研究人员提供必要生活保障。</w:t>
      </w:r>
    </w:p>
    <w:p w14:paraId="3CAC4552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第二章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开放对象</w:t>
      </w:r>
    </w:p>
    <w:p w14:paraId="37EC1E9A" w14:textId="2A6E2FD3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第五条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实验室开放课题对国内外相关</w:t>
      </w:r>
      <w:r w:rsidR="00BF1F90" w:rsidRPr="000B7E1E">
        <w:rPr>
          <w:rFonts w:eastAsia="仿宋" w:hAnsi="仿宋" w:hint="eastAsia"/>
          <w:kern w:val="0"/>
          <w:sz w:val="24"/>
        </w:rPr>
        <w:t>领域</w:t>
      </w:r>
      <w:r w:rsidRPr="00AB3ACD">
        <w:rPr>
          <w:rFonts w:eastAsia="仿宋" w:hAnsi="仿宋"/>
          <w:kern w:val="0"/>
          <w:sz w:val="24"/>
        </w:rPr>
        <w:t>的研究人员实行全方位开放。凡国内外研究机构、大专院校、农业相关产业部门中具有高级技术职称的科技工作者均可申请资助；中级技术职称以及获得硕士学位的青年科技工作者也可提出申请，但须由两名同行高级职称科技人员推荐。</w:t>
      </w:r>
    </w:p>
    <w:p w14:paraId="785EBC2E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第三章</w:t>
      </w:r>
      <w:r w:rsidRPr="00AB3ACD">
        <w:rPr>
          <w:rFonts w:eastAsia="仿宋"/>
          <w:b/>
          <w:bCs/>
          <w:kern w:val="0"/>
          <w:sz w:val="24"/>
        </w:rPr>
        <w:t xml:space="preserve"> </w:t>
      </w:r>
      <w:r w:rsidRPr="00AB3ACD">
        <w:rPr>
          <w:rFonts w:eastAsia="仿宋" w:hAnsi="仿宋"/>
          <w:b/>
          <w:bCs/>
          <w:kern w:val="0"/>
          <w:sz w:val="24"/>
        </w:rPr>
        <w:t>申请、审批、立项程序</w:t>
      </w:r>
    </w:p>
    <w:p w14:paraId="6566206D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第六条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申请者填写课题申请书一式</w:t>
      </w:r>
      <w:r w:rsidRPr="00AB3ACD">
        <w:rPr>
          <w:rFonts w:eastAsia="仿宋"/>
          <w:kern w:val="0"/>
          <w:sz w:val="24"/>
        </w:rPr>
        <w:t>4</w:t>
      </w:r>
      <w:r w:rsidRPr="00AB3ACD">
        <w:rPr>
          <w:rFonts w:eastAsia="仿宋" w:hAnsi="仿宋"/>
          <w:kern w:val="0"/>
          <w:sz w:val="24"/>
        </w:rPr>
        <w:t>份，由所在单位同意并加盖公章后寄交实验室。</w:t>
      </w:r>
      <w:r w:rsidRPr="00AB3ACD">
        <w:rPr>
          <w:rFonts w:eastAsia="仿宋"/>
          <w:kern w:val="0"/>
          <w:sz w:val="24"/>
        </w:rPr>
        <w:t xml:space="preserve"> </w:t>
      </w:r>
    </w:p>
    <w:p w14:paraId="19F6EF35" w14:textId="70B6A894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第七条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实验室将</w:t>
      </w:r>
      <w:r w:rsidRPr="00AB3ACD">
        <w:rPr>
          <w:rFonts w:eastAsia="仿宋"/>
          <w:kern w:val="0"/>
          <w:sz w:val="24"/>
        </w:rPr>
        <w:t>“</w:t>
      </w:r>
      <w:r w:rsidRPr="00AB3ACD">
        <w:rPr>
          <w:rFonts w:eastAsia="仿宋" w:hAnsi="仿宋"/>
          <w:kern w:val="0"/>
          <w:sz w:val="24"/>
        </w:rPr>
        <w:t>申请书</w:t>
      </w:r>
      <w:r w:rsidRPr="00AB3ACD">
        <w:rPr>
          <w:rFonts w:eastAsia="仿宋"/>
          <w:kern w:val="0"/>
          <w:sz w:val="24"/>
        </w:rPr>
        <w:t>”</w:t>
      </w:r>
      <w:r w:rsidRPr="00AB3ACD">
        <w:rPr>
          <w:rFonts w:eastAsia="仿宋" w:hAnsi="仿宋"/>
          <w:kern w:val="0"/>
          <w:sz w:val="24"/>
        </w:rPr>
        <w:t>分送同行专家三人评议。</w:t>
      </w:r>
      <w:r w:rsidRPr="00AB3ACD">
        <w:rPr>
          <w:rFonts w:eastAsia="仿宋"/>
          <w:kern w:val="0"/>
          <w:sz w:val="24"/>
        </w:rPr>
        <w:t xml:space="preserve"> </w:t>
      </w:r>
    </w:p>
    <w:p w14:paraId="31439687" w14:textId="097F2CDC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第八条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实验室学术委员会根据申请情况经评议后择优排序推荐（对已获各级自然科学基金、国家重点研发计划、国家重大科技专项及其</w:t>
      </w:r>
      <w:proofErr w:type="gramStart"/>
      <w:r w:rsidRPr="00AB3ACD">
        <w:rPr>
          <w:rFonts w:eastAsia="仿宋" w:hAnsi="仿宋"/>
          <w:kern w:val="0"/>
          <w:sz w:val="24"/>
        </w:rPr>
        <w:t>它基金</w:t>
      </w:r>
      <w:proofErr w:type="gramEnd"/>
      <w:r w:rsidRPr="00AB3ACD">
        <w:rPr>
          <w:rFonts w:eastAsia="仿宋" w:hAnsi="仿宋"/>
          <w:kern w:val="0"/>
          <w:sz w:val="24"/>
        </w:rPr>
        <w:t>支持的项目将优先予以考虑），经</w:t>
      </w:r>
      <w:r w:rsidR="00CA2CB8">
        <w:rPr>
          <w:rFonts w:eastAsia="仿宋" w:hAnsi="仿宋" w:hint="eastAsia"/>
          <w:kern w:val="0"/>
          <w:sz w:val="24"/>
        </w:rPr>
        <w:t>中国农业科学院饲</w:t>
      </w:r>
      <w:r w:rsidR="00CA2CB8" w:rsidRPr="000B7E1E">
        <w:rPr>
          <w:rFonts w:eastAsia="仿宋" w:hAnsi="仿宋" w:hint="eastAsia"/>
          <w:kern w:val="0"/>
          <w:sz w:val="24"/>
        </w:rPr>
        <w:t>料</w:t>
      </w:r>
      <w:r w:rsidRPr="000B7E1E">
        <w:rPr>
          <w:rFonts w:eastAsia="仿宋" w:hAnsi="仿宋"/>
          <w:kern w:val="0"/>
          <w:sz w:val="24"/>
        </w:rPr>
        <w:t>研究所领</w:t>
      </w:r>
      <w:r w:rsidRPr="00AB3ACD">
        <w:rPr>
          <w:rFonts w:eastAsia="仿宋" w:hAnsi="仿宋"/>
          <w:kern w:val="0"/>
          <w:sz w:val="24"/>
        </w:rPr>
        <w:t>导班子研究批准后立项。</w:t>
      </w:r>
    </w:p>
    <w:p w14:paraId="08F27D75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 w:hAnsi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第九条</w:t>
      </w:r>
      <w:r w:rsidRPr="00AB3ACD">
        <w:rPr>
          <w:rFonts w:eastAsia="仿宋"/>
          <w:kern w:val="0"/>
          <w:sz w:val="24"/>
        </w:rPr>
        <w:t xml:space="preserve">  </w:t>
      </w:r>
      <w:r w:rsidRPr="000B7E1E">
        <w:rPr>
          <w:rFonts w:eastAsia="仿宋" w:hAnsi="仿宋"/>
          <w:kern w:val="0"/>
          <w:sz w:val="24"/>
        </w:rPr>
        <w:t>立项后</w:t>
      </w:r>
      <w:r w:rsidRPr="00AB3ACD">
        <w:rPr>
          <w:rFonts w:eastAsia="仿宋" w:hAnsi="仿宋"/>
          <w:kern w:val="0"/>
          <w:sz w:val="24"/>
        </w:rPr>
        <w:t>，由课题承担者填写课题计划任务书一式</w:t>
      </w:r>
      <w:r w:rsidRPr="00AB3ACD">
        <w:rPr>
          <w:rFonts w:eastAsia="仿宋"/>
          <w:kern w:val="0"/>
          <w:sz w:val="24"/>
        </w:rPr>
        <w:t>4</w:t>
      </w:r>
      <w:r w:rsidRPr="00AB3ACD">
        <w:rPr>
          <w:rFonts w:eastAsia="仿宋" w:hAnsi="仿宋"/>
          <w:kern w:val="0"/>
          <w:sz w:val="24"/>
        </w:rPr>
        <w:t>份，明确研究方案、工作进度、经费预算及绩效目标等。</w:t>
      </w:r>
    </w:p>
    <w:p w14:paraId="59C39EC2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第四章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课题实施及结题管理</w:t>
      </w:r>
    </w:p>
    <w:p w14:paraId="40AE6D97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lastRenderedPageBreak/>
        <w:t>第十条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实验室对各项研究课题的进度进行定期检查，执行周期一年以上时课题组每年提交执行情况报告，由实验室汇总，分送学术委员会进行书面评审，视评审结果给予表彰或批评。</w:t>
      </w:r>
    </w:p>
    <w:p w14:paraId="7EAF1005" w14:textId="1E8C5061" w:rsidR="003114D8" w:rsidRPr="00AB3ACD" w:rsidRDefault="003114D8" w:rsidP="003114D8">
      <w:pPr>
        <w:pStyle w:val="a5"/>
        <w:snapToGrid w:val="0"/>
        <w:spacing w:before="0" w:beforeAutospacing="0" w:after="0" w:afterAutospacing="0" w:line="360" w:lineRule="auto"/>
        <w:jc w:val="both"/>
        <w:rPr>
          <w:rFonts w:ascii="Times New Roman" w:eastAsia="仿宋" w:hAnsi="Times New Roman"/>
        </w:rPr>
      </w:pPr>
      <w:r w:rsidRPr="00AB3ACD">
        <w:rPr>
          <w:rFonts w:ascii="Times New Roman" w:eastAsia="仿宋" w:hAnsi="仿宋"/>
          <w:b/>
        </w:rPr>
        <w:t>第十一条</w:t>
      </w:r>
      <w:r w:rsidRPr="00AB3ACD">
        <w:rPr>
          <w:rFonts w:ascii="Times New Roman" w:eastAsia="仿宋" w:hAnsi="Times New Roman"/>
          <w:b/>
        </w:rPr>
        <w:t xml:space="preserve"> </w:t>
      </w:r>
      <w:r w:rsidRPr="00AB3ACD">
        <w:rPr>
          <w:rFonts w:ascii="Times New Roman" w:eastAsia="仿宋" w:hAnsi="Times New Roman"/>
          <w:b/>
          <w:color w:val="333333"/>
        </w:rPr>
        <w:t xml:space="preserve"> </w:t>
      </w:r>
      <w:r w:rsidRPr="00AB3ACD">
        <w:rPr>
          <w:rFonts w:ascii="Times New Roman" w:eastAsia="仿宋" w:hAnsi="仿宋"/>
        </w:rPr>
        <w:t>课题执行中如需对工作内容、进度、负责人等作重大调整、变更或终止时，需由负责人提出书面申请，</w:t>
      </w:r>
      <w:r w:rsidRPr="000B7E1E">
        <w:rPr>
          <w:rFonts w:ascii="Times New Roman" w:eastAsia="仿宋" w:hAnsi="仿宋"/>
        </w:rPr>
        <w:t>经</w:t>
      </w:r>
      <w:r w:rsidR="00BF1F90" w:rsidRPr="000B7E1E">
        <w:rPr>
          <w:rFonts w:ascii="Times New Roman" w:eastAsia="仿宋" w:hAnsi="仿宋" w:hint="eastAsia"/>
        </w:rPr>
        <w:t>中国农业科学院饲料研究</w:t>
      </w:r>
      <w:r w:rsidRPr="000B7E1E">
        <w:rPr>
          <w:rFonts w:ascii="Times New Roman" w:eastAsia="仿宋" w:hAnsi="仿宋"/>
        </w:rPr>
        <w:t>所科研管理部门核</w:t>
      </w:r>
      <w:r w:rsidRPr="00AB3ACD">
        <w:rPr>
          <w:rFonts w:ascii="Times New Roman" w:eastAsia="仿宋" w:hAnsi="仿宋"/>
        </w:rPr>
        <w:t>实，</w:t>
      </w:r>
      <w:proofErr w:type="gramStart"/>
      <w:r w:rsidRPr="00AB3ACD">
        <w:rPr>
          <w:rFonts w:ascii="Times New Roman" w:eastAsia="仿宋" w:hAnsi="仿宋"/>
        </w:rPr>
        <w:t>报学术</w:t>
      </w:r>
      <w:proofErr w:type="gramEnd"/>
      <w:r w:rsidRPr="00AB3ACD">
        <w:rPr>
          <w:rFonts w:ascii="Times New Roman" w:eastAsia="仿宋" w:hAnsi="仿宋"/>
        </w:rPr>
        <w:t>委员会评议后，经研究所负责人批准予以调整或变更，必要时重新签订工作任务书。</w:t>
      </w:r>
    </w:p>
    <w:p w14:paraId="1D068BAD" w14:textId="17674B0B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第十二条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课题完成后需提交总结报告，必要时进行答辩，由学术委员会对课题完成质量和学术水平进行评价，形成结题意见，并通报研究人员所在单位。实验室对完成课题优秀的申请者按有关规定实行奖励。</w:t>
      </w:r>
      <w:r w:rsidRPr="00AB3ACD">
        <w:rPr>
          <w:rFonts w:eastAsia="仿宋"/>
          <w:kern w:val="0"/>
          <w:sz w:val="24"/>
        </w:rPr>
        <w:t xml:space="preserve"> </w:t>
      </w:r>
    </w:p>
    <w:p w14:paraId="1F292911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第十三条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若以重点实验室为第一完成单位进行成果评价，可向重点实验室提出申请，经学术委员会讨论同意后，实验室承担部分或全部所需费用。</w:t>
      </w:r>
    </w:p>
    <w:p w14:paraId="09193404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第五章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经费的使用及管理</w:t>
      </w:r>
    </w:p>
    <w:p w14:paraId="26ED31D4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第十四条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经批准的课题设立课题</w:t>
      </w:r>
      <w:proofErr w:type="gramStart"/>
      <w:r w:rsidRPr="00AB3ACD">
        <w:rPr>
          <w:rFonts w:eastAsia="仿宋" w:hAnsi="仿宋"/>
          <w:kern w:val="0"/>
          <w:sz w:val="24"/>
        </w:rPr>
        <w:t>帐号</w:t>
      </w:r>
      <w:proofErr w:type="gramEnd"/>
      <w:r w:rsidRPr="00AB3ACD">
        <w:rPr>
          <w:rFonts w:eastAsia="仿宋" w:hAnsi="仿宋"/>
          <w:kern w:val="0"/>
          <w:sz w:val="24"/>
        </w:rPr>
        <w:t>，专款专用，原则上不外拨。</w:t>
      </w:r>
      <w:r w:rsidRPr="00AB3ACD">
        <w:rPr>
          <w:rFonts w:eastAsia="仿宋"/>
          <w:kern w:val="0"/>
          <w:sz w:val="24"/>
        </w:rPr>
        <w:t xml:space="preserve"> </w:t>
      </w:r>
    </w:p>
    <w:p w14:paraId="749D6A94" w14:textId="70564F9C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第十五条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课题只能列支直接费用项目，包括、材料费、测试化验加工费、燃料动力费、差旅</w:t>
      </w:r>
      <w:r w:rsidRPr="00AB3ACD">
        <w:rPr>
          <w:rFonts w:eastAsia="仿宋"/>
          <w:kern w:val="0"/>
          <w:sz w:val="24"/>
        </w:rPr>
        <w:t>/</w:t>
      </w:r>
      <w:r w:rsidRPr="00AB3ACD">
        <w:rPr>
          <w:rFonts w:eastAsia="仿宋" w:hAnsi="仿宋"/>
          <w:kern w:val="0"/>
          <w:sz w:val="24"/>
        </w:rPr>
        <w:t>会议费，出版</w:t>
      </w:r>
      <w:r w:rsidRPr="00AB3ACD">
        <w:rPr>
          <w:rFonts w:eastAsia="仿宋"/>
          <w:kern w:val="0"/>
          <w:sz w:val="24"/>
        </w:rPr>
        <w:t>/</w:t>
      </w:r>
      <w:r w:rsidRPr="00AB3ACD">
        <w:rPr>
          <w:rFonts w:eastAsia="仿宋" w:hAnsi="仿宋"/>
          <w:kern w:val="0"/>
          <w:sz w:val="24"/>
        </w:rPr>
        <w:t>文献</w:t>
      </w:r>
      <w:r w:rsidRPr="00AB3ACD">
        <w:rPr>
          <w:rFonts w:eastAsia="仿宋"/>
          <w:kern w:val="0"/>
          <w:sz w:val="24"/>
        </w:rPr>
        <w:t>/</w:t>
      </w:r>
      <w:r w:rsidRPr="00AB3ACD">
        <w:rPr>
          <w:rFonts w:eastAsia="仿宋" w:hAnsi="仿宋"/>
          <w:kern w:val="0"/>
          <w:sz w:val="24"/>
        </w:rPr>
        <w:t>信息传播</w:t>
      </w:r>
      <w:r w:rsidRPr="00AB3ACD">
        <w:rPr>
          <w:rFonts w:eastAsia="仿宋"/>
          <w:kern w:val="0"/>
          <w:sz w:val="24"/>
        </w:rPr>
        <w:t>/</w:t>
      </w:r>
      <w:r w:rsidRPr="00AB3ACD">
        <w:rPr>
          <w:rFonts w:eastAsia="仿宋" w:hAnsi="仿宋"/>
          <w:kern w:val="0"/>
          <w:sz w:val="24"/>
        </w:rPr>
        <w:t>知识产权事务费、劳务费、专家咨询费、其他支出等；经费预算调整按照《关于进一步完善中央财政科研项目资金管理等政策的若干意见》（中办发〔</w:t>
      </w:r>
      <w:r w:rsidRPr="00AB3ACD">
        <w:rPr>
          <w:rFonts w:eastAsia="仿宋"/>
          <w:kern w:val="0"/>
          <w:sz w:val="24"/>
        </w:rPr>
        <w:t>2016</w:t>
      </w:r>
      <w:r w:rsidRPr="00AB3ACD">
        <w:rPr>
          <w:rFonts w:eastAsia="仿宋" w:hAnsi="仿宋"/>
          <w:kern w:val="0"/>
          <w:sz w:val="24"/>
        </w:rPr>
        <w:t>〕</w:t>
      </w:r>
      <w:r w:rsidRPr="00AB3ACD">
        <w:rPr>
          <w:rFonts w:eastAsia="仿宋"/>
          <w:kern w:val="0"/>
          <w:sz w:val="24"/>
        </w:rPr>
        <w:t>50</w:t>
      </w:r>
      <w:r w:rsidRPr="00AB3ACD">
        <w:rPr>
          <w:rFonts w:eastAsia="仿宋" w:hAnsi="仿宋"/>
          <w:kern w:val="0"/>
          <w:sz w:val="24"/>
        </w:rPr>
        <w:t>号）有关要求执行。</w:t>
      </w:r>
    </w:p>
    <w:p w14:paraId="560EA46E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第十六条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各课题负责人定期提交计划执行情况报告及经费使用结算报告，分送学术委员会进行书面评阅。对于进展不良或不按实验室有关规定执行的开放课题，</w:t>
      </w:r>
      <w:r w:rsidRPr="000B7E1E">
        <w:rPr>
          <w:rFonts w:eastAsia="仿宋" w:hAnsi="仿宋"/>
          <w:kern w:val="0"/>
          <w:sz w:val="24"/>
        </w:rPr>
        <w:t>经实验室主任批准，</w:t>
      </w:r>
      <w:r w:rsidRPr="00AB3ACD">
        <w:rPr>
          <w:rFonts w:eastAsia="仿宋" w:hAnsi="仿宋"/>
          <w:kern w:val="0"/>
          <w:sz w:val="24"/>
        </w:rPr>
        <w:t>可中断或取消其经费的使用。</w:t>
      </w:r>
      <w:r w:rsidRPr="00AB3ACD">
        <w:rPr>
          <w:rFonts w:eastAsia="仿宋"/>
          <w:kern w:val="0"/>
          <w:sz w:val="24"/>
        </w:rPr>
        <w:t xml:space="preserve"> </w:t>
      </w:r>
    </w:p>
    <w:p w14:paraId="0AC6E2C3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第六章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成果管理</w:t>
      </w:r>
    </w:p>
    <w:p w14:paraId="0AF5FB4E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第十七条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实验室开放课题的研究成果，其知识产权为实验室所有。</w:t>
      </w:r>
      <w:r w:rsidRPr="00AB3ACD">
        <w:rPr>
          <w:rFonts w:eastAsia="仿宋"/>
          <w:kern w:val="0"/>
          <w:sz w:val="24"/>
        </w:rPr>
        <w:t xml:space="preserve"> </w:t>
      </w:r>
    </w:p>
    <w:p w14:paraId="19B6961C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 w:hAnsi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t>第十八条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论文、其技术文件及研究成果署实验室名称</w:t>
      </w:r>
      <w:r w:rsidRPr="00AB3ACD">
        <w:rPr>
          <w:rFonts w:eastAsia="仿宋"/>
          <w:kern w:val="0"/>
          <w:sz w:val="24"/>
        </w:rPr>
        <w:t>“</w:t>
      </w:r>
      <w:r w:rsidRPr="00AB3ACD">
        <w:rPr>
          <w:rFonts w:eastAsia="仿宋" w:hAnsi="仿宋"/>
          <w:kern w:val="0"/>
          <w:sz w:val="24"/>
        </w:rPr>
        <w:t>农业</w:t>
      </w:r>
      <w:r w:rsidRPr="00AB3ACD">
        <w:rPr>
          <w:rFonts w:eastAsia="仿宋" w:hAnsi="仿宋" w:hint="eastAsia"/>
          <w:kern w:val="0"/>
          <w:sz w:val="24"/>
        </w:rPr>
        <w:t>农村</w:t>
      </w:r>
      <w:r w:rsidRPr="00AB3ACD">
        <w:rPr>
          <w:rFonts w:eastAsia="仿宋" w:hAnsi="仿宋"/>
          <w:kern w:val="0"/>
          <w:sz w:val="24"/>
        </w:rPr>
        <w:t>部</w:t>
      </w:r>
      <w:r w:rsidR="00CC74AB" w:rsidRPr="00AB3ACD">
        <w:rPr>
          <w:rFonts w:eastAsia="仿宋" w:hAnsi="仿宋" w:hint="eastAsia"/>
          <w:kern w:val="0"/>
          <w:sz w:val="24"/>
        </w:rPr>
        <w:t>动物源</w:t>
      </w:r>
      <w:r w:rsidR="00CC74AB" w:rsidRPr="00AB3ACD">
        <w:rPr>
          <w:rFonts w:eastAsia="仿宋" w:hAnsi="仿宋"/>
          <w:kern w:val="0"/>
          <w:sz w:val="24"/>
        </w:rPr>
        <w:t>细菌耐药性监测</w:t>
      </w:r>
      <w:r w:rsidR="00CC74AB" w:rsidRPr="00AB3ACD">
        <w:rPr>
          <w:rFonts w:eastAsia="仿宋" w:hAnsi="仿宋" w:hint="eastAsia"/>
          <w:kern w:val="0"/>
          <w:sz w:val="24"/>
        </w:rPr>
        <w:t>重</w:t>
      </w:r>
      <w:r w:rsidRPr="00AB3ACD">
        <w:rPr>
          <w:rFonts w:eastAsia="仿宋" w:hAnsi="仿宋"/>
          <w:kern w:val="0"/>
          <w:sz w:val="24"/>
        </w:rPr>
        <w:t>点实验室</w:t>
      </w:r>
      <w:r w:rsidRPr="00AB3ACD">
        <w:rPr>
          <w:rFonts w:eastAsia="仿宋"/>
          <w:kern w:val="0"/>
          <w:sz w:val="24"/>
        </w:rPr>
        <w:t xml:space="preserve">, </w:t>
      </w:r>
      <w:r w:rsidRPr="00AB3ACD">
        <w:rPr>
          <w:rFonts w:eastAsia="仿宋" w:hAnsi="仿宋"/>
          <w:kern w:val="0"/>
          <w:sz w:val="24"/>
        </w:rPr>
        <w:t>北京</w:t>
      </w:r>
      <w:r w:rsidRPr="00AB3ACD">
        <w:rPr>
          <w:rFonts w:eastAsia="仿宋"/>
          <w:kern w:val="0"/>
          <w:sz w:val="24"/>
        </w:rPr>
        <w:t xml:space="preserve">  100081”[</w:t>
      </w:r>
      <w:r w:rsidRPr="00AB3ACD">
        <w:rPr>
          <w:rFonts w:eastAsia="仿宋" w:hAnsi="仿宋"/>
          <w:kern w:val="0"/>
          <w:sz w:val="24"/>
        </w:rPr>
        <w:t>英文：</w:t>
      </w:r>
      <w:r w:rsidR="00CC74AB" w:rsidRPr="00AB3ACD">
        <w:rPr>
          <w:rFonts w:eastAsia="仿宋" w:hAnsi="仿宋" w:hint="eastAsia"/>
          <w:kern w:val="0"/>
          <w:sz w:val="24"/>
        </w:rPr>
        <w:t>Ke</w:t>
      </w:r>
      <w:bookmarkStart w:id="0" w:name="_GoBack"/>
      <w:bookmarkEnd w:id="0"/>
      <w:r w:rsidR="00CC74AB" w:rsidRPr="00AB3ACD">
        <w:rPr>
          <w:rFonts w:eastAsia="仿宋" w:hAnsi="仿宋" w:hint="eastAsia"/>
          <w:kern w:val="0"/>
          <w:sz w:val="24"/>
        </w:rPr>
        <w:t>y Laboratory of Animal Antimicrobial Resistance Surveillance</w:t>
      </w:r>
      <w:r w:rsidR="00CC74AB" w:rsidRPr="00AB3ACD">
        <w:rPr>
          <w:rFonts w:eastAsia="仿宋" w:hAnsi="仿宋" w:hint="eastAsia"/>
          <w:kern w:val="0"/>
          <w:sz w:val="24"/>
        </w:rPr>
        <w:t>，</w:t>
      </w:r>
      <w:r w:rsidR="00CC74AB" w:rsidRPr="00AB3ACD">
        <w:rPr>
          <w:rFonts w:eastAsia="仿宋" w:hAnsi="仿宋" w:hint="eastAsia"/>
          <w:kern w:val="0"/>
          <w:sz w:val="24"/>
        </w:rPr>
        <w:t>Ministry of Agriculture and Rural Affairs</w:t>
      </w:r>
      <w:r w:rsidR="00CC74AB" w:rsidRPr="00AB3ACD">
        <w:rPr>
          <w:rFonts w:eastAsia="仿宋" w:hAnsi="仿宋" w:hint="eastAsia"/>
          <w:kern w:val="0"/>
          <w:sz w:val="24"/>
        </w:rPr>
        <w:t>，</w:t>
      </w:r>
      <w:r w:rsidR="00CC74AB" w:rsidRPr="00AB3ACD">
        <w:rPr>
          <w:rFonts w:eastAsia="仿宋" w:hAnsi="仿宋" w:hint="eastAsia"/>
          <w:kern w:val="0"/>
          <w:sz w:val="24"/>
        </w:rPr>
        <w:t>P. R. China</w:t>
      </w:r>
      <w:r w:rsidRPr="00AB3ACD">
        <w:rPr>
          <w:rFonts w:eastAsia="仿宋"/>
          <w:kern w:val="0"/>
          <w:sz w:val="24"/>
        </w:rPr>
        <w:t>]</w:t>
      </w:r>
      <w:r w:rsidRPr="00AB3ACD">
        <w:rPr>
          <w:rFonts w:eastAsia="仿宋" w:hAnsi="仿宋"/>
          <w:kern w:val="0"/>
          <w:sz w:val="24"/>
        </w:rPr>
        <w:t>，或在其首页标注</w:t>
      </w:r>
      <w:r w:rsidRPr="00AB3ACD">
        <w:rPr>
          <w:rFonts w:eastAsia="仿宋"/>
          <w:kern w:val="0"/>
          <w:sz w:val="24"/>
        </w:rPr>
        <w:t>“</w:t>
      </w:r>
      <w:r w:rsidRPr="00AB3ACD">
        <w:rPr>
          <w:rFonts w:eastAsia="仿宋" w:hAnsi="仿宋"/>
          <w:kern w:val="0"/>
          <w:sz w:val="24"/>
        </w:rPr>
        <w:t>农业</w:t>
      </w:r>
      <w:r w:rsidRPr="00AB3ACD">
        <w:rPr>
          <w:rFonts w:eastAsia="仿宋" w:hAnsi="仿宋" w:hint="eastAsia"/>
          <w:kern w:val="0"/>
          <w:sz w:val="24"/>
        </w:rPr>
        <w:t>农村</w:t>
      </w:r>
      <w:r w:rsidRPr="00AB3ACD">
        <w:rPr>
          <w:rFonts w:eastAsia="仿宋" w:hAnsi="仿宋"/>
          <w:kern w:val="0"/>
          <w:sz w:val="24"/>
        </w:rPr>
        <w:t>部</w:t>
      </w:r>
      <w:r w:rsidR="00E42B20" w:rsidRPr="00AB3ACD">
        <w:rPr>
          <w:rFonts w:eastAsia="仿宋" w:hAnsi="仿宋" w:hint="eastAsia"/>
          <w:kern w:val="0"/>
          <w:sz w:val="24"/>
        </w:rPr>
        <w:t>动物源</w:t>
      </w:r>
      <w:r w:rsidR="00CC74AB" w:rsidRPr="00AB3ACD">
        <w:rPr>
          <w:rFonts w:eastAsia="仿宋" w:hAnsi="仿宋"/>
          <w:kern w:val="0"/>
          <w:sz w:val="24"/>
        </w:rPr>
        <w:t>细菌耐药性监测</w:t>
      </w:r>
      <w:r w:rsidR="00CC74AB" w:rsidRPr="00AB3ACD">
        <w:rPr>
          <w:rFonts w:eastAsia="仿宋" w:hAnsi="仿宋" w:hint="eastAsia"/>
          <w:kern w:val="0"/>
          <w:sz w:val="24"/>
        </w:rPr>
        <w:t>重</w:t>
      </w:r>
      <w:r w:rsidRPr="00AB3ACD">
        <w:rPr>
          <w:rFonts w:eastAsia="仿宋" w:hAnsi="仿宋"/>
          <w:kern w:val="0"/>
          <w:sz w:val="24"/>
        </w:rPr>
        <w:t>点实验室开放课题资助或部分资助</w:t>
      </w:r>
      <w:r w:rsidRPr="00AB3ACD">
        <w:rPr>
          <w:rFonts w:eastAsia="仿宋"/>
          <w:kern w:val="0"/>
          <w:sz w:val="24"/>
        </w:rPr>
        <w:t>”[</w:t>
      </w:r>
      <w:r w:rsidRPr="00AB3ACD">
        <w:rPr>
          <w:rFonts w:eastAsia="仿宋" w:hAnsi="仿宋"/>
          <w:kern w:val="0"/>
          <w:sz w:val="24"/>
        </w:rPr>
        <w:t>英文：</w:t>
      </w:r>
      <w:r w:rsidRPr="00AB3ACD">
        <w:rPr>
          <w:rFonts w:eastAsia="仿宋"/>
          <w:kern w:val="0"/>
          <w:sz w:val="24"/>
        </w:rPr>
        <w:t>Supported</w:t>
      </w:r>
      <w:r w:rsidRPr="00AB3ACD">
        <w:rPr>
          <w:rFonts w:eastAsia="仿宋" w:hAnsi="仿宋"/>
          <w:kern w:val="0"/>
          <w:sz w:val="24"/>
        </w:rPr>
        <w:t>（</w:t>
      </w:r>
      <w:r w:rsidRPr="00AB3ACD">
        <w:rPr>
          <w:rFonts w:eastAsia="仿宋"/>
          <w:kern w:val="0"/>
          <w:sz w:val="24"/>
        </w:rPr>
        <w:t>or Partially Supported</w:t>
      </w:r>
      <w:r w:rsidRPr="00AB3ACD">
        <w:rPr>
          <w:rFonts w:eastAsia="仿宋" w:hAnsi="仿宋"/>
          <w:kern w:val="0"/>
          <w:sz w:val="24"/>
        </w:rPr>
        <w:t>）</w:t>
      </w:r>
      <w:r w:rsidRPr="00AB3ACD">
        <w:rPr>
          <w:rFonts w:eastAsia="仿宋"/>
          <w:kern w:val="0"/>
          <w:sz w:val="24"/>
        </w:rPr>
        <w:t xml:space="preserve">by the Open Project Program of </w:t>
      </w:r>
      <w:r w:rsidR="00CC74AB" w:rsidRPr="00AB3ACD">
        <w:rPr>
          <w:rFonts w:eastAsia="仿宋" w:hint="eastAsia"/>
          <w:kern w:val="0"/>
          <w:sz w:val="24"/>
        </w:rPr>
        <w:t>Key Laboratory of Animal Antimicrobial Resistance Surveillance</w:t>
      </w:r>
      <w:r w:rsidR="00CC74AB" w:rsidRPr="00AB3ACD">
        <w:rPr>
          <w:rFonts w:eastAsia="仿宋" w:hint="eastAsia"/>
          <w:kern w:val="0"/>
          <w:sz w:val="24"/>
        </w:rPr>
        <w:t>，</w:t>
      </w:r>
      <w:r w:rsidR="00CC74AB" w:rsidRPr="00AB3ACD">
        <w:rPr>
          <w:rFonts w:eastAsia="仿宋" w:hint="eastAsia"/>
          <w:kern w:val="0"/>
          <w:sz w:val="24"/>
        </w:rPr>
        <w:t>Ministry of Agriculture and Rural Affairs</w:t>
      </w:r>
      <w:r w:rsidR="00CC74AB" w:rsidRPr="00AB3ACD">
        <w:rPr>
          <w:rFonts w:eastAsia="仿宋" w:hint="eastAsia"/>
          <w:kern w:val="0"/>
          <w:sz w:val="24"/>
        </w:rPr>
        <w:t>，</w:t>
      </w:r>
      <w:r w:rsidR="00CC74AB" w:rsidRPr="00AB3ACD">
        <w:rPr>
          <w:rFonts w:eastAsia="仿宋" w:hint="eastAsia"/>
          <w:kern w:val="0"/>
          <w:sz w:val="24"/>
        </w:rPr>
        <w:t>P. R. China</w:t>
      </w:r>
      <w:r w:rsidRPr="00AB3ACD">
        <w:rPr>
          <w:rFonts w:eastAsia="仿宋"/>
          <w:kern w:val="0"/>
          <w:sz w:val="24"/>
        </w:rPr>
        <w:t>]</w:t>
      </w:r>
      <w:r w:rsidRPr="00AB3ACD">
        <w:rPr>
          <w:rFonts w:eastAsia="仿宋" w:hAnsi="仿宋"/>
          <w:kern w:val="0"/>
          <w:sz w:val="24"/>
        </w:rPr>
        <w:t>。</w:t>
      </w:r>
    </w:p>
    <w:p w14:paraId="0CA9818C" w14:textId="77777777" w:rsidR="003114D8" w:rsidRPr="00AB3ACD" w:rsidRDefault="003114D8" w:rsidP="003114D8">
      <w:pPr>
        <w:widowControl/>
        <w:snapToGrid w:val="0"/>
        <w:spacing w:line="360" w:lineRule="auto"/>
        <w:jc w:val="center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bCs/>
          <w:kern w:val="0"/>
          <w:sz w:val="24"/>
        </w:rPr>
        <w:t>第七章</w:t>
      </w:r>
      <w:r w:rsidRPr="00AB3ACD">
        <w:rPr>
          <w:rFonts w:eastAsia="仿宋"/>
          <w:b/>
          <w:bCs/>
          <w:kern w:val="0"/>
          <w:sz w:val="24"/>
        </w:rPr>
        <w:t xml:space="preserve">  </w:t>
      </w:r>
      <w:r w:rsidRPr="00AB3ACD">
        <w:rPr>
          <w:rFonts w:eastAsia="仿宋" w:hAnsi="仿宋"/>
          <w:b/>
          <w:bCs/>
          <w:kern w:val="0"/>
          <w:sz w:val="24"/>
        </w:rPr>
        <w:t>附则</w:t>
      </w:r>
    </w:p>
    <w:p w14:paraId="5DDB9560" w14:textId="77777777" w:rsidR="003114D8" w:rsidRPr="00AB3ACD" w:rsidRDefault="003114D8" w:rsidP="003114D8">
      <w:pPr>
        <w:widowControl/>
        <w:snapToGrid w:val="0"/>
        <w:spacing w:line="360" w:lineRule="auto"/>
        <w:jc w:val="left"/>
        <w:rPr>
          <w:rFonts w:eastAsia="仿宋"/>
          <w:kern w:val="0"/>
          <w:sz w:val="24"/>
        </w:rPr>
      </w:pPr>
      <w:r w:rsidRPr="00AB3ACD">
        <w:rPr>
          <w:rFonts w:eastAsia="仿宋" w:hAnsi="仿宋"/>
          <w:b/>
          <w:kern w:val="0"/>
          <w:sz w:val="24"/>
        </w:rPr>
        <w:lastRenderedPageBreak/>
        <w:t>第十九条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本办法自公布之日起实施。以往规定如有与本</w:t>
      </w:r>
      <w:r w:rsidRPr="00AB3ACD">
        <w:rPr>
          <w:rFonts w:eastAsia="仿宋"/>
          <w:kern w:val="0"/>
          <w:sz w:val="24"/>
        </w:rPr>
        <w:t>“</w:t>
      </w:r>
      <w:r w:rsidRPr="00AB3ACD">
        <w:rPr>
          <w:rFonts w:eastAsia="仿宋" w:hAnsi="仿宋"/>
          <w:kern w:val="0"/>
          <w:sz w:val="24"/>
        </w:rPr>
        <w:t>办法</w:t>
      </w:r>
      <w:r w:rsidRPr="00AB3ACD">
        <w:rPr>
          <w:rFonts w:eastAsia="仿宋"/>
          <w:kern w:val="0"/>
          <w:sz w:val="24"/>
        </w:rPr>
        <w:t>”</w:t>
      </w:r>
      <w:r w:rsidRPr="00AB3ACD">
        <w:rPr>
          <w:rFonts w:eastAsia="仿宋" w:hAnsi="仿宋"/>
          <w:kern w:val="0"/>
          <w:sz w:val="24"/>
        </w:rPr>
        <w:t>不符的，以本办法为准。</w:t>
      </w:r>
      <w:r w:rsidRPr="00AB3ACD">
        <w:rPr>
          <w:rFonts w:eastAsia="仿宋"/>
          <w:kern w:val="0"/>
          <w:sz w:val="24"/>
        </w:rPr>
        <w:t xml:space="preserve"> </w:t>
      </w:r>
    </w:p>
    <w:p w14:paraId="4BFE6295" w14:textId="77777777" w:rsidR="003114D8" w:rsidRDefault="003114D8" w:rsidP="003114D8">
      <w:r w:rsidRPr="00AB3ACD">
        <w:rPr>
          <w:rFonts w:eastAsia="仿宋" w:hAnsi="仿宋"/>
          <w:b/>
          <w:kern w:val="0"/>
          <w:sz w:val="24"/>
        </w:rPr>
        <w:t>第二十条</w:t>
      </w:r>
      <w:r w:rsidRPr="00AB3ACD">
        <w:rPr>
          <w:rFonts w:eastAsia="仿宋"/>
          <w:kern w:val="0"/>
          <w:sz w:val="24"/>
        </w:rPr>
        <w:t xml:space="preserve">  </w:t>
      </w:r>
      <w:r w:rsidRPr="00AB3ACD">
        <w:rPr>
          <w:rFonts w:eastAsia="仿宋" w:hAnsi="仿宋"/>
          <w:kern w:val="0"/>
          <w:sz w:val="24"/>
        </w:rPr>
        <w:t>本办法由本实验室负责解释。</w:t>
      </w:r>
    </w:p>
    <w:p w14:paraId="7918DEBE" w14:textId="77777777" w:rsidR="003E7044" w:rsidRPr="003114D8" w:rsidRDefault="003E7044"/>
    <w:sectPr w:rsidR="003E7044" w:rsidRPr="003114D8" w:rsidSect="005E045D">
      <w:pgSz w:w="11906" w:h="16838"/>
      <w:pgMar w:top="1440" w:right="1274" w:bottom="1440" w:left="156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3916581" w15:done="0"/>
  <w15:commentEx w15:paraId="6BEFE0D3" w15:done="0"/>
  <w15:commentEx w15:paraId="6C90EC1F" w15:done="0"/>
  <w15:commentEx w15:paraId="0EBF49A4" w15:done="0"/>
  <w15:commentEx w15:paraId="5B78CD1A" w15:done="0"/>
  <w15:commentEx w15:paraId="446144F3" w15:done="0"/>
  <w15:commentEx w15:paraId="629EE455" w15:done="0"/>
  <w15:commentEx w15:paraId="04AA8A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9AEE0" w14:textId="77777777" w:rsidR="006107F2" w:rsidRDefault="006107F2" w:rsidP="003114D8">
      <w:r>
        <w:separator/>
      </w:r>
    </w:p>
  </w:endnote>
  <w:endnote w:type="continuationSeparator" w:id="0">
    <w:p w14:paraId="71E958B1" w14:textId="77777777" w:rsidR="006107F2" w:rsidRDefault="006107F2" w:rsidP="0031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0078D" w14:textId="77777777" w:rsidR="006107F2" w:rsidRDefault="006107F2" w:rsidP="003114D8">
      <w:r>
        <w:separator/>
      </w:r>
    </w:p>
  </w:footnote>
  <w:footnote w:type="continuationSeparator" w:id="0">
    <w:p w14:paraId="424F3F8D" w14:textId="77777777" w:rsidR="006107F2" w:rsidRDefault="006107F2" w:rsidP="003114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toBVT">
    <w15:presenceInfo w15:providerId="None" w15:userId="AutoBV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1A"/>
    <w:rsid w:val="00042CF3"/>
    <w:rsid w:val="00070D4C"/>
    <w:rsid w:val="000B7E1E"/>
    <w:rsid w:val="002B04BC"/>
    <w:rsid w:val="003114D8"/>
    <w:rsid w:val="00312B9C"/>
    <w:rsid w:val="003A4F11"/>
    <w:rsid w:val="003E7044"/>
    <w:rsid w:val="003F1107"/>
    <w:rsid w:val="006107F2"/>
    <w:rsid w:val="006C5C31"/>
    <w:rsid w:val="00751413"/>
    <w:rsid w:val="008B11E0"/>
    <w:rsid w:val="00AB3ACD"/>
    <w:rsid w:val="00BB651A"/>
    <w:rsid w:val="00BF1F90"/>
    <w:rsid w:val="00CA2CB8"/>
    <w:rsid w:val="00CC74AB"/>
    <w:rsid w:val="00CD3F29"/>
    <w:rsid w:val="00E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89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D8"/>
    <w:pPr>
      <w:widowControl w:val="0"/>
      <w:jc w:val="both"/>
    </w:pPr>
    <w:rPr>
      <w:rFonts w:ascii="Times New Roman" w:eastAsia="宋体" w:hAnsi="Times New Roman" w:cs="Times New Roman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311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3114D8"/>
    <w:rPr>
      <w:sz w:val="18"/>
      <w:szCs w:val="18"/>
    </w:rPr>
  </w:style>
  <w:style w:type="paragraph" w:styleId="a5">
    <w:name w:val="Normal (Web)"/>
    <w:basedOn w:val="a"/>
    <w:rsid w:val="003114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CD3F2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D3F2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D3F29"/>
    <w:rPr>
      <w:rFonts w:ascii="Times New Roman" w:eastAsia="宋体" w:hAnsi="Times New Roman" w:cs="Times New Roman"/>
      <w:szCs w:val="24"/>
      <w:lang w:val="de-D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D3F2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D3F29"/>
    <w:rPr>
      <w:rFonts w:ascii="Times New Roman" w:eastAsia="宋体" w:hAnsi="Times New Roman" w:cs="Times New Roman"/>
      <w:b/>
      <w:bCs/>
      <w:szCs w:val="24"/>
      <w:lang w:val="de-DE"/>
    </w:rPr>
  </w:style>
  <w:style w:type="paragraph" w:styleId="a9">
    <w:name w:val="Balloon Text"/>
    <w:basedOn w:val="a"/>
    <w:link w:val="Char3"/>
    <w:uiPriority w:val="99"/>
    <w:semiHidden/>
    <w:unhideWhenUsed/>
    <w:rsid w:val="00CD3F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D3F29"/>
    <w:rPr>
      <w:rFonts w:ascii="Times New Roman" w:eastAsia="宋体" w:hAnsi="Times New Roman" w:cs="Times New Roman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D8"/>
    <w:pPr>
      <w:widowControl w:val="0"/>
      <w:jc w:val="both"/>
    </w:pPr>
    <w:rPr>
      <w:rFonts w:ascii="Times New Roman" w:eastAsia="宋体" w:hAnsi="Times New Roman" w:cs="Times New Roman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311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14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3114D8"/>
    <w:rPr>
      <w:sz w:val="18"/>
      <w:szCs w:val="18"/>
    </w:rPr>
  </w:style>
  <w:style w:type="paragraph" w:styleId="a5">
    <w:name w:val="Normal (Web)"/>
    <w:basedOn w:val="a"/>
    <w:rsid w:val="003114D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 w:val="en-US"/>
    </w:rPr>
  </w:style>
  <w:style w:type="character" w:styleId="a6">
    <w:name w:val="annotation reference"/>
    <w:basedOn w:val="a0"/>
    <w:uiPriority w:val="99"/>
    <w:semiHidden/>
    <w:unhideWhenUsed/>
    <w:rsid w:val="00CD3F2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D3F2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D3F29"/>
    <w:rPr>
      <w:rFonts w:ascii="Times New Roman" w:eastAsia="宋体" w:hAnsi="Times New Roman" w:cs="Times New Roman"/>
      <w:szCs w:val="24"/>
      <w:lang w:val="de-DE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D3F2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D3F29"/>
    <w:rPr>
      <w:rFonts w:ascii="Times New Roman" w:eastAsia="宋体" w:hAnsi="Times New Roman" w:cs="Times New Roman"/>
      <w:b/>
      <w:bCs/>
      <w:szCs w:val="24"/>
      <w:lang w:val="de-DE"/>
    </w:rPr>
  </w:style>
  <w:style w:type="paragraph" w:styleId="a9">
    <w:name w:val="Balloon Text"/>
    <w:basedOn w:val="a"/>
    <w:link w:val="Char3"/>
    <w:uiPriority w:val="99"/>
    <w:semiHidden/>
    <w:unhideWhenUsed/>
    <w:rsid w:val="00CD3F2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D3F29"/>
    <w:rPr>
      <w:rFonts w:ascii="Times New Roman" w:eastAsia="宋体" w:hAnsi="Times New Roman" w:cs="Times New Roman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xjchen2009@163.com</cp:lastModifiedBy>
  <cp:revision>5</cp:revision>
  <dcterms:created xsi:type="dcterms:W3CDTF">2023-09-15T05:40:00Z</dcterms:created>
  <dcterms:modified xsi:type="dcterms:W3CDTF">2024-05-28T08:30:00Z</dcterms:modified>
</cp:coreProperties>
</file>